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8B2030" w:rsidRPr="00E36422" w:rsidRDefault="003A677B" w:rsidP="00E36422">
            <w:pPr>
              <w:widowControl w:val="0"/>
              <w:autoSpaceDE w:val="0"/>
              <w:autoSpaceDN w:val="0"/>
              <w:jc w:val="center"/>
              <w:rPr>
                <w:b/>
                <w:sz w:val="28"/>
                <w:szCs w:val="20"/>
              </w:rPr>
            </w:pPr>
            <w:r w:rsidRPr="003A677B">
              <w:rPr>
                <w:rFonts w:ascii="Times New Roman" w:hAnsi="Times New Roman"/>
                <w:iCs/>
                <w:sz w:val="28"/>
                <w:szCs w:val="28"/>
              </w:rPr>
              <w:t xml:space="preserve">Проект </w:t>
            </w:r>
            <w:r w:rsidRPr="003A677B">
              <w:rPr>
                <w:rFonts w:ascii="Times New Roman" w:hAnsi="Times New Roman"/>
                <w:sz w:val="28"/>
                <w:szCs w:val="28"/>
              </w:rPr>
              <w:t xml:space="preserve">постановления администрации муниципального образования город Новороссийск </w:t>
            </w:r>
            <w:r w:rsidRPr="00A241AC">
              <w:rPr>
                <w:rFonts w:ascii="Times New Roman" w:hAnsi="Times New Roman" w:cs="Times New Roman"/>
                <w:sz w:val="28"/>
                <w:szCs w:val="28"/>
              </w:rPr>
              <w:t>«</w:t>
            </w:r>
            <w:bookmarkStart w:id="1" w:name="_Hlk127203735"/>
            <w:bookmarkStart w:id="2" w:name="_Hlk153460187"/>
            <w:bookmarkStart w:id="3" w:name="_Hlk131524382"/>
            <w:bookmarkStart w:id="4" w:name="_Hlk158455962"/>
            <w:bookmarkStart w:id="5" w:name="_Hlk158456046"/>
            <w:r w:rsidR="00CA4319" w:rsidRPr="00CA4319">
              <w:rPr>
                <w:rFonts w:ascii="Times New Roman" w:hAnsi="Times New Roman" w:cs="Times New Roman"/>
                <w:sz w:val="28"/>
                <w:szCs w:val="20"/>
              </w:rPr>
              <w:t xml:space="preserve">О внесении изменений в постановление администрации муниципального образования город Новороссийск от 28 июля 2022 года </w:t>
            </w:r>
            <w:r w:rsidR="00CA4319">
              <w:rPr>
                <w:rFonts w:ascii="Times New Roman" w:hAnsi="Times New Roman" w:cs="Times New Roman"/>
                <w:sz w:val="28"/>
                <w:szCs w:val="20"/>
              </w:rPr>
              <w:t xml:space="preserve">              </w:t>
            </w:r>
            <w:bookmarkStart w:id="6" w:name="_GoBack"/>
            <w:bookmarkEnd w:id="6"/>
            <w:r w:rsidR="00CA4319" w:rsidRPr="00CA4319">
              <w:rPr>
                <w:rFonts w:ascii="Times New Roman" w:hAnsi="Times New Roman" w:cs="Times New Roman"/>
                <w:sz w:val="28"/>
                <w:szCs w:val="20"/>
              </w:rPr>
              <w:t>№ 4315 «Об утверждении административного регламента по предоставлению муниципальной услуги: «Согласование переустройства и (или) перепланировки помещения в многоквартирном доме» и признании утратившими силу отдельных постановлений администрации муниципального образования город Новороссийск</w:t>
            </w:r>
            <w:r w:rsidR="00E36422" w:rsidRPr="00E36422">
              <w:rPr>
                <w:rFonts w:ascii="Times New Roman" w:hAnsi="Times New Roman" w:cs="Times New Roman"/>
                <w:sz w:val="28"/>
                <w:szCs w:val="20"/>
              </w:rPr>
              <w:t>»</w:t>
            </w:r>
            <w:bookmarkEnd w:id="1"/>
            <w:bookmarkEnd w:id="2"/>
            <w:bookmarkEnd w:id="3"/>
            <w:bookmarkEnd w:id="4"/>
            <w:bookmarkEnd w:id="5"/>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E36422">
              <w:rPr>
                <w:rFonts w:ascii="Times New Roman" w:hAnsi="Times New Roman" w:cs="Times New Roman"/>
                <w:sz w:val="24"/>
                <w:szCs w:val="24"/>
              </w:rPr>
              <w:t>2</w:t>
            </w:r>
            <w:r w:rsidR="00CA4319">
              <w:rPr>
                <w:rFonts w:ascii="Times New Roman" w:hAnsi="Times New Roman" w:cs="Times New Roman"/>
                <w:sz w:val="24"/>
                <w:szCs w:val="24"/>
              </w:rPr>
              <w:t>6</w:t>
            </w:r>
            <w:r w:rsidR="007130AB">
              <w:rPr>
                <w:rFonts w:ascii="Times New Roman" w:hAnsi="Times New Roman" w:cs="Times New Roman"/>
                <w:sz w:val="24"/>
                <w:szCs w:val="24"/>
              </w:rPr>
              <w:t>.0</w:t>
            </w:r>
            <w:r w:rsidR="003A677B">
              <w:rPr>
                <w:rFonts w:ascii="Times New Roman" w:hAnsi="Times New Roman" w:cs="Times New Roman"/>
                <w:sz w:val="24"/>
                <w:szCs w:val="24"/>
              </w:rPr>
              <w:t>2</w:t>
            </w:r>
            <w:r w:rsidR="007130AB">
              <w:rPr>
                <w:rFonts w:ascii="Times New Roman" w:hAnsi="Times New Roman" w:cs="Times New Roman"/>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7" w:name="Par633"/>
            <w:bookmarkEnd w:id="7"/>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w:t>
            </w:r>
            <w:r w:rsidRPr="00E73FDC">
              <w:rPr>
                <w:rFonts w:ascii="Times New Roman" w:hAnsi="Times New Roman"/>
                <w:sz w:val="28"/>
                <w:szCs w:val="28"/>
              </w:rPr>
              <w:lastRenderedPageBreak/>
              <w:t xml:space="preserve">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A4319">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74A50"/>
    <w:rsid w:val="00386E4D"/>
    <w:rsid w:val="00391386"/>
    <w:rsid w:val="003A677B"/>
    <w:rsid w:val="003C3086"/>
    <w:rsid w:val="003D49AF"/>
    <w:rsid w:val="003D6E71"/>
    <w:rsid w:val="003E62FE"/>
    <w:rsid w:val="0041541F"/>
    <w:rsid w:val="00422B79"/>
    <w:rsid w:val="00425876"/>
    <w:rsid w:val="00426669"/>
    <w:rsid w:val="00442AAE"/>
    <w:rsid w:val="004677C8"/>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B2030"/>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67E56"/>
    <w:rsid w:val="00C71498"/>
    <w:rsid w:val="00C868B5"/>
    <w:rsid w:val="00C95FB5"/>
    <w:rsid w:val="00CA1F5C"/>
    <w:rsid w:val="00CA4319"/>
    <w:rsid w:val="00CC31C3"/>
    <w:rsid w:val="00CC4614"/>
    <w:rsid w:val="00CC47EA"/>
    <w:rsid w:val="00CC4F5A"/>
    <w:rsid w:val="00CD25B9"/>
    <w:rsid w:val="00CD34F7"/>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36422"/>
    <w:rsid w:val="00E44B18"/>
    <w:rsid w:val="00E659FD"/>
    <w:rsid w:val="00E669E1"/>
    <w:rsid w:val="00E72288"/>
    <w:rsid w:val="00E73D9D"/>
    <w:rsid w:val="00E80251"/>
    <w:rsid w:val="00E81BE7"/>
    <w:rsid w:val="00E82E87"/>
    <w:rsid w:val="00EC603E"/>
    <w:rsid w:val="00ED4B96"/>
    <w:rsid w:val="00F106AC"/>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110E-77B1-48DD-B1DC-80FC6DC6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41</cp:revision>
  <dcterms:created xsi:type="dcterms:W3CDTF">2023-04-12T09:11:00Z</dcterms:created>
  <dcterms:modified xsi:type="dcterms:W3CDTF">2025-02-12T14:49:00Z</dcterms:modified>
</cp:coreProperties>
</file>